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C2111" w:rsidRDefault="009C2111" w:rsidP="009C2111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92654A">
        <w:rPr>
          <w:b/>
          <w:sz w:val="28"/>
          <w:szCs w:val="28"/>
          <w:lang w:eastAsia="ar-SA"/>
        </w:rPr>
        <w:t xml:space="preserve">на поставку </w:t>
      </w:r>
      <w:r w:rsidR="009A44FC">
        <w:rPr>
          <w:b/>
          <w:sz w:val="28"/>
          <w:szCs w:val="28"/>
          <w:lang w:eastAsia="ar-SA"/>
        </w:rPr>
        <w:t>стоматологического</w:t>
      </w:r>
      <w:r w:rsidRPr="0092654A">
        <w:rPr>
          <w:b/>
          <w:sz w:val="28"/>
          <w:szCs w:val="28"/>
          <w:lang w:eastAsia="ar-SA"/>
        </w:rPr>
        <w:t xml:space="preserve"> расходного материала </w:t>
      </w:r>
    </w:p>
    <w:p w:rsidR="009C2111" w:rsidRPr="0092654A" w:rsidRDefault="009C2111" w:rsidP="009C2111">
      <w:pPr>
        <w:spacing w:after="0"/>
        <w:jc w:val="center"/>
        <w:rPr>
          <w:b/>
          <w:sz w:val="28"/>
          <w:szCs w:val="28"/>
          <w:lang w:eastAsia="ar-SA"/>
        </w:rPr>
      </w:pPr>
      <w:r w:rsidRPr="0092654A"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C22C86">
      <w:pPr>
        <w:spacing w:after="0"/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C2111" w:rsidRPr="00C22C86">
        <w:rPr>
          <w:sz w:val="26"/>
          <w:szCs w:val="26"/>
        </w:rPr>
        <w:t xml:space="preserve">на поставку </w:t>
      </w:r>
      <w:r w:rsidR="0098361D">
        <w:rPr>
          <w:sz w:val="26"/>
          <w:szCs w:val="26"/>
        </w:rPr>
        <w:t>стоматологического</w:t>
      </w:r>
      <w:r w:rsidR="009C2111" w:rsidRPr="00C22C86">
        <w:rPr>
          <w:sz w:val="26"/>
          <w:szCs w:val="26"/>
        </w:rPr>
        <w:t xml:space="preserve"> расходного материала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C22C86">
            <w:pPr>
              <w:spacing w:after="0"/>
            </w:pPr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9C2111" w:rsidRPr="00C22C86">
              <w:t xml:space="preserve">на поставку </w:t>
            </w:r>
            <w:r w:rsidR="00F855A3">
              <w:t>стоматологического</w:t>
            </w:r>
            <w:r w:rsidR="009C2111" w:rsidRPr="00C22C86">
              <w:t xml:space="preserve"> расходного материала для нужд ООО «Медсервис»</w:t>
            </w:r>
            <w:r w:rsidR="00E92DF9" w:rsidRPr="00D67270">
              <w:t>.</w:t>
            </w:r>
          </w:p>
          <w:p w:rsidR="009C2111" w:rsidRDefault="00E84BF3" w:rsidP="008E027B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F855A3">
              <w:t>2</w:t>
            </w:r>
            <w:r w:rsidR="00291367" w:rsidRPr="00E84BF3">
              <w:t xml:space="preserve"> </w:t>
            </w:r>
            <w:r w:rsidR="008E027B" w:rsidRPr="00E84BF3">
              <w:t>лот</w:t>
            </w:r>
            <w:r w:rsidR="008E027B">
              <w:t>ов, в отношении каждого предусмотрено заключение отдельного договора по итогам проведения данного тендера</w:t>
            </w:r>
            <w:r w:rsidR="009C2111">
              <w:t>:</w:t>
            </w:r>
          </w:p>
          <w:p w:rsidR="009C2111" w:rsidRDefault="009C2111" w:rsidP="008E027B">
            <w:pPr>
              <w:spacing w:after="0"/>
            </w:pPr>
            <w:r>
              <w:t xml:space="preserve">Лот №1 – </w:t>
            </w:r>
            <w:r w:rsidRPr="00C22C86">
              <w:t xml:space="preserve">Поставка </w:t>
            </w:r>
            <w:r w:rsidR="005B17A8">
              <w:t xml:space="preserve">стоматологического расходного материала </w:t>
            </w:r>
            <w:r w:rsidRPr="00C22C86">
              <w:t xml:space="preserve"> для нужд ООО «Медсервис»</w:t>
            </w:r>
            <w:r>
              <w:t>;</w:t>
            </w:r>
          </w:p>
          <w:p w:rsidR="005D772F" w:rsidRPr="005D772F" w:rsidRDefault="005D772F" w:rsidP="005D772F">
            <w:pPr>
              <w:spacing w:after="0"/>
            </w:pPr>
            <w:r w:rsidRPr="005D772F">
              <w:t>Лот №</w:t>
            </w:r>
            <w:r w:rsidR="00F855A3">
              <w:t>2</w:t>
            </w:r>
            <w:r w:rsidRPr="005D772F">
              <w:t xml:space="preserve"> </w:t>
            </w:r>
            <w:r>
              <w:t xml:space="preserve">- </w:t>
            </w:r>
            <w:r w:rsidRPr="005D772F">
              <w:t xml:space="preserve">Поставка расходного материала для зуботехнической лаборатории для нужд ООО «Медсервис». </w:t>
            </w:r>
          </w:p>
          <w:p w:rsidR="00655F82" w:rsidRDefault="00655F82" w:rsidP="005B17A8">
            <w:pPr>
              <w:spacing w:after="0"/>
            </w:pPr>
          </w:p>
          <w:p w:rsidR="00DA0F9B" w:rsidRPr="009D44BB" w:rsidRDefault="00E84BF3" w:rsidP="008E027B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Default="008E027B" w:rsidP="008E027B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>цены Лотов установлены в рублях, с учетом НДС 18 %:</w:t>
            </w:r>
          </w:p>
          <w:p w:rsidR="008E027B" w:rsidRDefault="008E027B" w:rsidP="008E027B">
            <w:pPr>
              <w:spacing w:after="0"/>
            </w:pPr>
            <w:r>
              <w:t xml:space="preserve">Лот №1 – </w:t>
            </w:r>
            <w:r w:rsidR="00F855A3">
              <w:t>3 945 296,00</w:t>
            </w:r>
            <w:r>
              <w:t>;</w:t>
            </w:r>
          </w:p>
          <w:p w:rsidR="00F66182" w:rsidRPr="00F33922" w:rsidRDefault="005D772F" w:rsidP="00424A7A">
            <w:pPr>
              <w:spacing w:after="0"/>
            </w:pPr>
            <w:r>
              <w:lastRenderedPageBreak/>
              <w:t>Лот №</w:t>
            </w:r>
            <w:r w:rsidR="00424A7A">
              <w:t>2</w:t>
            </w:r>
            <w:r>
              <w:t xml:space="preserve"> – 7</w:t>
            </w:r>
            <w:r w:rsidR="00F855A3">
              <w:t>16</w:t>
            </w:r>
            <w:r>
              <w:t> </w:t>
            </w:r>
            <w:r w:rsidR="00F855A3">
              <w:t>505</w:t>
            </w:r>
            <w:r>
              <w:t>,00.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B5937">
              <w:t>«_</w:t>
            </w:r>
            <w:r w:rsidR="00B67250">
              <w:t>26</w:t>
            </w:r>
            <w:r w:rsidR="008B5937">
              <w:t xml:space="preserve">_» </w:t>
            </w:r>
            <w:r w:rsidR="005B17A8">
              <w:t xml:space="preserve">февраля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B5937">
              <w:t>«_</w:t>
            </w:r>
            <w:r w:rsidR="00B67250">
              <w:t>05</w:t>
            </w:r>
            <w:r w:rsidR="001B7412">
              <w:t>_</w:t>
            </w:r>
            <w:r w:rsidR="008B5937" w:rsidRPr="00F33922">
              <w:t xml:space="preserve">» </w:t>
            </w:r>
            <w:r w:rsidR="00B67250">
              <w:t>марта</w:t>
            </w:r>
            <w:r w:rsidR="005B17A8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 xml:space="preserve">минут по местному времени, обеденный перерыв с 13 часов 00 минут до 14 часов 00 минут, кроме выходных и </w:t>
            </w:r>
            <w:r w:rsidRPr="00F33922">
              <w:lastRenderedPageBreak/>
              <w:t>праздничных дней</w:t>
            </w:r>
            <w:r w:rsidR="00E92DF9">
              <w:t>.</w:t>
            </w:r>
          </w:p>
          <w:p w:rsidR="00F66182" w:rsidRPr="00F33922" w:rsidRDefault="00F66182" w:rsidP="0055465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554654">
              <w:t>8</w:t>
            </w:r>
            <w:bookmarkStart w:id="2" w:name="_GoBack"/>
            <w:bookmarkEnd w:id="2"/>
            <w:r w:rsidR="008E027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B5937">
              <w:t>«_</w:t>
            </w:r>
            <w:r w:rsidR="00FC6469">
              <w:t>26</w:t>
            </w:r>
            <w:r w:rsidR="008B5937">
              <w:t>_</w:t>
            </w:r>
            <w:r w:rsidR="008B5937" w:rsidRPr="00F33922">
              <w:t xml:space="preserve">» </w:t>
            </w:r>
            <w:r w:rsidR="005B17A8">
              <w:t>февраля</w:t>
            </w:r>
            <w:r w:rsidR="005B17A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FC646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B5937">
              <w:t>«_</w:t>
            </w:r>
            <w:r w:rsidR="00FC6469">
              <w:t>05</w:t>
            </w:r>
            <w:r w:rsidR="008B5937">
              <w:t>_</w:t>
            </w:r>
            <w:r w:rsidR="008B5937" w:rsidRPr="00F33922">
              <w:t>»</w:t>
            </w:r>
            <w:r w:rsidR="008B5937">
              <w:t xml:space="preserve"> </w:t>
            </w:r>
            <w:r w:rsidR="00FC6469">
              <w:t>марта</w:t>
            </w:r>
            <w:r w:rsidR="005B17A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B5937" w:rsidP="00D6322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BE70B0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5B17A8">
              <w:rPr>
                <w:sz w:val="24"/>
                <w:szCs w:val="24"/>
              </w:rPr>
              <w:t>февраля</w:t>
            </w:r>
            <w:r w:rsidR="005B17A8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B5937" w:rsidP="00696A0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BE70B0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E70B0">
              <w:rPr>
                <w:sz w:val="24"/>
                <w:szCs w:val="24"/>
              </w:rPr>
              <w:t>марта</w:t>
            </w:r>
            <w:r w:rsidR="005B17A8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4430F" w:rsidP="00696A0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BE70B0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E70B0">
              <w:rPr>
                <w:sz w:val="24"/>
                <w:szCs w:val="24"/>
              </w:rPr>
              <w:t>марта</w:t>
            </w:r>
            <w:r w:rsidR="005B17A8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696A0D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4430F" w:rsidRPr="00F33922">
              <w:rPr>
                <w:i/>
              </w:rPr>
              <w:t>№</w:t>
            </w:r>
            <w:r w:rsidR="00D63228">
              <w:rPr>
                <w:i/>
              </w:rPr>
              <w:t xml:space="preserve"> </w:t>
            </w:r>
            <w:r w:rsidR="00BE70B0">
              <w:rPr>
                <w:i/>
              </w:rPr>
              <w:t>20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>от</w:t>
            </w:r>
            <w:r w:rsidR="00BE70B0">
              <w:rPr>
                <w:i/>
              </w:rPr>
              <w:t xml:space="preserve"> 25</w:t>
            </w:r>
            <w:r w:rsidR="00D63228">
              <w:rPr>
                <w:i/>
              </w:rPr>
              <w:t>.</w:t>
            </w:r>
            <w:r w:rsidR="005B17A8">
              <w:rPr>
                <w:i/>
              </w:rPr>
              <w:t>02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6557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412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367"/>
    <w:rsid w:val="0029159D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A7A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4654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96A0D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61D"/>
    <w:rsid w:val="00983D73"/>
    <w:rsid w:val="00986E89"/>
    <w:rsid w:val="00990430"/>
    <w:rsid w:val="00997927"/>
    <w:rsid w:val="009A06D1"/>
    <w:rsid w:val="009A16BC"/>
    <w:rsid w:val="009A183D"/>
    <w:rsid w:val="009A25CB"/>
    <w:rsid w:val="009A44FC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5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0B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3228"/>
    <w:rsid w:val="00D649FC"/>
    <w:rsid w:val="00D65D46"/>
    <w:rsid w:val="00D67270"/>
    <w:rsid w:val="00D67DED"/>
    <w:rsid w:val="00D70127"/>
    <w:rsid w:val="00D70A45"/>
    <w:rsid w:val="00D71D21"/>
    <w:rsid w:val="00D7274D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55A3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469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53</cp:revision>
  <cp:lastPrinted>2014-04-07T11:12:00Z</cp:lastPrinted>
  <dcterms:created xsi:type="dcterms:W3CDTF">2014-10-29T09:39:00Z</dcterms:created>
  <dcterms:modified xsi:type="dcterms:W3CDTF">2015-02-25T06:06:00Z</dcterms:modified>
</cp:coreProperties>
</file>