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E1A" w:rsidRPr="007C15BE" w:rsidRDefault="00582E1A" w:rsidP="0083731C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284859081"/>
      <w:r w:rsidRPr="007C15BE">
        <w:rPr>
          <w:rFonts w:ascii="Times New Roman" w:hAnsi="Times New Roman" w:cs="Times New Roman"/>
          <w:b/>
          <w:color w:val="auto"/>
          <w:sz w:val="28"/>
          <w:szCs w:val="28"/>
        </w:rPr>
        <w:t>РАЗДЕЛ III. ТЕХНИЧЕСКОЕ ЗАДАНИЕ</w:t>
      </w:r>
    </w:p>
    <w:p w:rsidR="006D2482" w:rsidRPr="006D2482" w:rsidRDefault="0083731C" w:rsidP="006D2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731C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6D2482" w:rsidRPr="006D2482">
        <w:rPr>
          <w:rFonts w:ascii="Times New Roman" w:hAnsi="Times New Roman" w:cs="Times New Roman"/>
          <w:b/>
          <w:sz w:val="28"/>
          <w:szCs w:val="28"/>
        </w:rPr>
        <w:t>оказание услуг по проведению анализа крови для нужд</w:t>
      </w:r>
    </w:p>
    <w:p w:rsidR="0083731C" w:rsidRPr="0083731C" w:rsidRDefault="006D2482" w:rsidP="006D24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482">
        <w:rPr>
          <w:rFonts w:ascii="Times New Roman" w:hAnsi="Times New Roman" w:cs="Times New Roman"/>
          <w:b/>
          <w:sz w:val="28"/>
          <w:szCs w:val="28"/>
        </w:rPr>
        <w:t xml:space="preserve"> ООО «</w:t>
      </w:r>
      <w:proofErr w:type="spellStart"/>
      <w:r w:rsidRPr="006D2482">
        <w:rPr>
          <w:rFonts w:ascii="Times New Roman" w:hAnsi="Times New Roman" w:cs="Times New Roman"/>
          <w:b/>
          <w:sz w:val="28"/>
          <w:szCs w:val="28"/>
        </w:rPr>
        <w:t>Медсервис</w:t>
      </w:r>
      <w:proofErr w:type="spellEnd"/>
      <w:r w:rsidRPr="006D2482">
        <w:rPr>
          <w:rFonts w:ascii="Times New Roman" w:hAnsi="Times New Roman" w:cs="Times New Roman"/>
          <w:b/>
          <w:sz w:val="28"/>
          <w:szCs w:val="28"/>
        </w:rPr>
        <w:t>» в 2016 г.</w:t>
      </w:r>
    </w:p>
    <w:p w:rsidR="00085716" w:rsidRDefault="00085716" w:rsidP="00582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2E1A" w:rsidRDefault="0083731C" w:rsidP="00582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3731C">
        <w:rPr>
          <w:rFonts w:ascii="Times New Roman" w:hAnsi="Times New Roman" w:cs="Times New Roman"/>
          <w:b/>
          <w:sz w:val="28"/>
          <w:szCs w:val="28"/>
          <w:u w:val="single"/>
        </w:rPr>
        <w:t>Закупка состоит из 1 лота.</w:t>
      </w:r>
    </w:p>
    <w:p w:rsidR="00085716" w:rsidRPr="0083731C" w:rsidRDefault="00085716" w:rsidP="00582E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bookmarkEnd w:id="0"/>
    <w:p w:rsidR="00085716" w:rsidRPr="007721F7" w:rsidRDefault="00085716" w:rsidP="00085716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C0E03">
        <w:rPr>
          <w:rFonts w:ascii="Times New Roman" w:hAnsi="Times New Roman" w:cs="Times New Roman"/>
          <w:bCs/>
          <w:color w:val="000000"/>
          <w:sz w:val="28"/>
          <w:szCs w:val="28"/>
        </w:rPr>
        <w:t>Общие требования к оказанию услуг:</w:t>
      </w:r>
      <w:r w:rsidRPr="007721F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 оказании услуг по проведению анализа крови для нужд ООО «Медсервис» Исполнитель должен строго руководствоваться требованиями действующего законодательства РФ, проводить оказание услуг в соответствии с методиками и технологиями, утвержденными медицинскими стандартами, ГОСТами, ТУ на данный вид услуг.</w:t>
      </w:r>
    </w:p>
    <w:p w:rsidR="005C0E03" w:rsidRPr="005C0E03" w:rsidRDefault="00C34A96" w:rsidP="005C0E03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Перечень услуг</w:t>
      </w:r>
      <w:r w:rsidR="005C0E03" w:rsidRPr="005C0E03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6416"/>
        <w:gridCol w:w="1559"/>
        <w:gridCol w:w="1134"/>
      </w:tblGrid>
      <w:tr w:rsidR="00BF3BA3" w:rsidRPr="003278AA" w:rsidTr="006D2482">
        <w:trPr>
          <w:trHeight w:hRule="exact" w:val="73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3BA3" w:rsidRPr="005C0E03" w:rsidRDefault="00BF3BA3" w:rsidP="005C0E0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C0E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3BA3" w:rsidRPr="005C0E03" w:rsidRDefault="00BF3BA3" w:rsidP="005C0E03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C0E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3BA3" w:rsidRPr="005C0E03" w:rsidRDefault="00BF3BA3" w:rsidP="0086717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C0E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Ед.</w:t>
            </w:r>
          </w:p>
          <w:p w:rsidR="00BF3BA3" w:rsidRPr="005C0E03" w:rsidRDefault="00BF3BA3" w:rsidP="0086717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C0E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3BA3" w:rsidRPr="005C0E03" w:rsidRDefault="00BF3BA3" w:rsidP="00867175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11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Кол-во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right="280"/>
              <w:jc w:val="right"/>
            </w:pPr>
            <w:r>
              <w:rPr>
                <w:rStyle w:val="115pt"/>
              </w:rPr>
              <w:t>1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Определение группы крови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6D2482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3042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"/>
              </w:rPr>
              <w:t>2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Определение резус фактора «Д»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6D2482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3062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"/>
              </w:rPr>
              <w:t>3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Определение «Ке11»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6D2482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1540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  <w:rPr>
                <w:rStyle w:val="115pt"/>
              </w:rPr>
            </w:pPr>
            <w:r>
              <w:rPr>
                <w:rStyle w:val="115pt"/>
              </w:rPr>
              <w:t>4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"/>
              </w:rPr>
            </w:pPr>
            <w:r>
              <w:rPr>
                <w:rStyle w:val="115pt"/>
              </w:rPr>
              <w:t>Определение «</w:t>
            </w:r>
            <w:proofErr w:type="spellStart"/>
            <w:r>
              <w:rPr>
                <w:rStyle w:val="115pt"/>
              </w:rPr>
              <w:t>Келанно</w:t>
            </w:r>
            <w:proofErr w:type="spellEnd"/>
            <w:r>
              <w:rPr>
                <w:rStyle w:val="115pt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"/>
              </w:rPr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6D2482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1540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"/>
              </w:rPr>
              <w:t>5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proofErr w:type="spellStart"/>
            <w:r>
              <w:rPr>
                <w:rStyle w:val="115pt"/>
              </w:rPr>
              <w:t>Фенотипирование</w:t>
            </w:r>
            <w:proofErr w:type="spellEnd"/>
            <w:r>
              <w:rPr>
                <w:rStyle w:val="115pt"/>
              </w:rPr>
              <w:t xml:space="preserve"> антигенов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6D2482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4182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350543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t>6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Титрование выявленных антиэритроцитарных антител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560F8C" w:rsidP="00560F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60F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1990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350543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"/>
              </w:rPr>
              <w:t>7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Определение подгруппы А</w:t>
            </w:r>
            <w:proofErr w:type="gramStart"/>
            <m:oMath>
              <m:r>
                <w:rPr>
                  <w:rStyle w:val="115pt"/>
                  <w:rFonts w:ascii="Cambria Math" w:hAnsi="Cambria Math"/>
                </w:rPr>
                <m:t>2</m:t>
              </m:r>
            </m:oMath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6D2482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462</w:t>
            </w:r>
          </w:p>
        </w:tc>
      </w:tr>
      <w:tr w:rsidR="006D2482" w:rsidTr="006D2482">
        <w:trPr>
          <w:trHeight w:hRule="exact" w:val="312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350543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  <w:rPr>
                <w:rStyle w:val="115pt"/>
              </w:rPr>
            </w:pPr>
            <w:r>
              <w:rPr>
                <w:rStyle w:val="115pt"/>
              </w:rPr>
              <w:t>8</w:t>
            </w:r>
          </w:p>
        </w:tc>
        <w:tc>
          <w:tcPr>
            <w:tcW w:w="6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"/>
              </w:rPr>
            </w:pPr>
            <w:r>
              <w:rPr>
                <w:rStyle w:val="115pt"/>
              </w:rPr>
              <w:t>Скрининг антиэритроцитарных антител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Default="006D2482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"/>
              </w:rPr>
            </w:pPr>
            <w:r>
              <w:rPr>
                <w:rStyle w:val="115pt"/>
              </w:rPr>
              <w:t>анализ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2482" w:rsidRPr="000F70E7" w:rsidRDefault="00560F8C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60F8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2010</w:t>
            </w:r>
            <w:bookmarkStart w:id="1" w:name="_GoBack"/>
            <w:bookmarkEnd w:id="1"/>
          </w:p>
        </w:tc>
      </w:tr>
    </w:tbl>
    <w:p w:rsidR="00181E3A" w:rsidRPr="005C0E03" w:rsidRDefault="00181E3A" w:rsidP="005C0E0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sectPr w:rsidR="00181E3A" w:rsidRPr="005C0E03" w:rsidSect="00D73C84">
      <w:pgSz w:w="11906" w:h="16838"/>
      <w:pgMar w:top="709" w:right="68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6AD"/>
    <w:multiLevelType w:val="multilevel"/>
    <w:tmpl w:val="FE8E4E5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5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10114C6"/>
    <w:multiLevelType w:val="multilevel"/>
    <w:tmpl w:val="DF8EC7E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3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3AF247E"/>
    <w:multiLevelType w:val="multilevel"/>
    <w:tmpl w:val="3D5A0FD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60E2B98"/>
    <w:multiLevelType w:val="multilevel"/>
    <w:tmpl w:val="F8BE39A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4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06000"/>
    <w:multiLevelType w:val="multilevel"/>
    <w:tmpl w:val="10E6B7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2C3026"/>
    <w:multiLevelType w:val="multilevel"/>
    <w:tmpl w:val="C41280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6.%2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C9281C"/>
    <w:multiLevelType w:val="multilevel"/>
    <w:tmpl w:val="FDCC2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7.%2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FC3EA0"/>
    <w:multiLevelType w:val="hybridMultilevel"/>
    <w:tmpl w:val="2DCC51CE"/>
    <w:lvl w:ilvl="0" w:tplc="43B4DD94">
      <w:start w:val="1"/>
      <w:numFmt w:val="decimal"/>
      <w:lvlText w:val="%1."/>
      <w:lvlJc w:val="left"/>
      <w:pPr>
        <w:ind w:left="540" w:hanging="360"/>
      </w:pPr>
      <w:rPr>
        <w:b/>
        <w:color w:val="00336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BB4235"/>
    <w:multiLevelType w:val="hybridMultilevel"/>
    <w:tmpl w:val="46D02F8E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7E11BA"/>
    <w:multiLevelType w:val="multilevel"/>
    <w:tmpl w:val="7A44E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A82585"/>
    <w:multiLevelType w:val="multilevel"/>
    <w:tmpl w:val="4FA03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317850"/>
    <w:multiLevelType w:val="multilevel"/>
    <w:tmpl w:val="E9B087D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4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13"/>
  </w:num>
  <w:num w:numId="12">
    <w:abstractNumId w:val="7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10"/>
    <w:rsid w:val="00085716"/>
    <w:rsid w:val="000968EF"/>
    <w:rsid w:val="000F667A"/>
    <w:rsid w:val="00112964"/>
    <w:rsid w:val="0014710C"/>
    <w:rsid w:val="00166770"/>
    <w:rsid w:val="00181E3A"/>
    <w:rsid w:val="00187533"/>
    <w:rsid w:val="001B7023"/>
    <w:rsid w:val="00253B4B"/>
    <w:rsid w:val="00254F3E"/>
    <w:rsid w:val="00271F59"/>
    <w:rsid w:val="002B72BF"/>
    <w:rsid w:val="002E4558"/>
    <w:rsid w:val="00303C07"/>
    <w:rsid w:val="0030471E"/>
    <w:rsid w:val="00330F48"/>
    <w:rsid w:val="0033133E"/>
    <w:rsid w:val="00350543"/>
    <w:rsid w:val="00362436"/>
    <w:rsid w:val="00373C7E"/>
    <w:rsid w:val="003909C6"/>
    <w:rsid w:val="0041048D"/>
    <w:rsid w:val="00424CB9"/>
    <w:rsid w:val="00477890"/>
    <w:rsid w:val="004C358F"/>
    <w:rsid w:val="00560F8C"/>
    <w:rsid w:val="00582E1A"/>
    <w:rsid w:val="005C0E03"/>
    <w:rsid w:val="006D2482"/>
    <w:rsid w:val="007721F7"/>
    <w:rsid w:val="00773565"/>
    <w:rsid w:val="00795313"/>
    <w:rsid w:val="007A08CF"/>
    <w:rsid w:val="007C15BE"/>
    <w:rsid w:val="00820C71"/>
    <w:rsid w:val="0083731C"/>
    <w:rsid w:val="00846A29"/>
    <w:rsid w:val="00847DA9"/>
    <w:rsid w:val="00867175"/>
    <w:rsid w:val="008758F4"/>
    <w:rsid w:val="0093066D"/>
    <w:rsid w:val="00953091"/>
    <w:rsid w:val="00962546"/>
    <w:rsid w:val="009854B6"/>
    <w:rsid w:val="009D69DF"/>
    <w:rsid w:val="009F0945"/>
    <w:rsid w:val="00A73558"/>
    <w:rsid w:val="00A75F3F"/>
    <w:rsid w:val="00A978E2"/>
    <w:rsid w:val="00AE3EAD"/>
    <w:rsid w:val="00B72C38"/>
    <w:rsid w:val="00B74C0A"/>
    <w:rsid w:val="00BD4195"/>
    <w:rsid w:val="00BF1876"/>
    <w:rsid w:val="00BF3BA3"/>
    <w:rsid w:val="00C34A96"/>
    <w:rsid w:val="00C47056"/>
    <w:rsid w:val="00C5261B"/>
    <w:rsid w:val="00CB3B10"/>
    <w:rsid w:val="00D515E1"/>
    <w:rsid w:val="00D73C84"/>
    <w:rsid w:val="00DA28A1"/>
    <w:rsid w:val="00DF1106"/>
    <w:rsid w:val="00E208D4"/>
    <w:rsid w:val="00E814A4"/>
    <w:rsid w:val="00F1228E"/>
    <w:rsid w:val="00FA28F2"/>
    <w:rsid w:val="00FB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4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2436"/>
    <w:pPr>
      <w:spacing w:after="225" w:line="240" w:lineRule="auto"/>
      <w:outlineLvl w:val="1"/>
    </w:pPr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82E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66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D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D4195"/>
    <w:rPr>
      <w:b/>
      <w:bCs/>
    </w:rPr>
  </w:style>
  <w:style w:type="character" w:styleId="a8">
    <w:name w:val="Emphasis"/>
    <w:basedOn w:val="a0"/>
    <w:uiPriority w:val="20"/>
    <w:qFormat/>
    <w:rsid w:val="0036243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62436"/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character" w:styleId="a9">
    <w:name w:val="Hyperlink"/>
    <w:basedOn w:val="a0"/>
    <w:uiPriority w:val="99"/>
    <w:semiHidden/>
    <w:unhideWhenUsed/>
    <w:rsid w:val="00E814A4"/>
    <w:rPr>
      <w:strike w:val="0"/>
      <w:dstrike w:val="0"/>
      <w:color w:val="3C74C2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424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a">
    <w:name w:val="Гипертекстовая ссылка"/>
    <w:basedOn w:val="a0"/>
    <w:uiPriority w:val="99"/>
    <w:rsid w:val="00424CB9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24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271F59"/>
    <w:pPr>
      <w:ind w:left="720"/>
      <w:contextualSpacing/>
    </w:pPr>
  </w:style>
  <w:style w:type="paragraph" w:customStyle="1" w:styleId="western">
    <w:name w:val="western"/>
    <w:basedOn w:val="a"/>
    <w:rsid w:val="0027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82E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1">
    <w:name w:val="Основной текст (2)_"/>
    <w:basedOn w:val="a0"/>
    <w:link w:val="22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d">
    <w:name w:val="Основной текст_"/>
    <w:basedOn w:val="a0"/>
    <w:link w:val="11"/>
    <w:rsid w:val="00181E3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d"/>
    <w:rsid w:val="00181E3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1E3A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1">
    <w:name w:val="Основной текст1"/>
    <w:basedOn w:val="a"/>
    <w:link w:val="ad"/>
    <w:rsid w:val="00181E3A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Заголовок №2"/>
    <w:basedOn w:val="a"/>
    <w:link w:val="23"/>
    <w:rsid w:val="00181E3A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character" w:customStyle="1" w:styleId="Batang65pt">
    <w:name w:val="Основной текст + Batang;6;5 pt;Малые прописные"/>
    <w:basedOn w:val="ad"/>
    <w:rsid w:val="00181E3A"/>
    <w:rPr>
      <w:rFonts w:ascii="Batang" w:eastAsia="Batang" w:hAnsi="Batang" w:cs="Batang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paragraph" w:customStyle="1" w:styleId="3">
    <w:name w:val="Основной текст3"/>
    <w:basedOn w:val="a"/>
    <w:rsid w:val="00181E3A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пись к таблице_"/>
    <w:basedOn w:val="a0"/>
    <w:link w:val="af"/>
    <w:rsid w:val="005C0E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d"/>
    <w:rsid w:val="005C0E0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5C0E03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">
    <w:name w:val="Подпись к таблице"/>
    <w:basedOn w:val="a"/>
    <w:link w:val="ae"/>
    <w:rsid w:val="005C0E0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4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2436"/>
    <w:pPr>
      <w:spacing w:after="225" w:line="240" w:lineRule="auto"/>
      <w:outlineLvl w:val="1"/>
    </w:pPr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82E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66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D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D4195"/>
    <w:rPr>
      <w:b/>
      <w:bCs/>
    </w:rPr>
  </w:style>
  <w:style w:type="character" w:styleId="a8">
    <w:name w:val="Emphasis"/>
    <w:basedOn w:val="a0"/>
    <w:uiPriority w:val="20"/>
    <w:qFormat/>
    <w:rsid w:val="0036243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62436"/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character" w:styleId="a9">
    <w:name w:val="Hyperlink"/>
    <w:basedOn w:val="a0"/>
    <w:uiPriority w:val="99"/>
    <w:semiHidden/>
    <w:unhideWhenUsed/>
    <w:rsid w:val="00E814A4"/>
    <w:rPr>
      <w:strike w:val="0"/>
      <w:dstrike w:val="0"/>
      <w:color w:val="3C74C2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424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a">
    <w:name w:val="Гипертекстовая ссылка"/>
    <w:basedOn w:val="a0"/>
    <w:uiPriority w:val="99"/>
    <w:rsid w:val="00424CB9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24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271F59"/>
    <w:pPr>
      <w:ind w:left="720"/>
      <w:contextualSpacing/>
    </w:pPr>
  </w:style>
  <w:style w:type="paragraph" w:customStyle="1" w:styleId="western">
    <w:name w:val="western"/>
    <w:basedOn w:val="a"/>
    <w:rsid w:val="0027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82E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1">
    <w:name w:val="Основной текст (2)_"/>
    <w:basedOn w:val="a0"/>
    <w:link w:val="22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d">
    <w:name w:val="Основной текст_"/>
    <w:basedOn w:val="a0"/>
    <w:link w:val="11"/>
    <w:rsid w:val="00181E3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d"/>
    <w:rsid w:val="00181E3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1E3A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1">
    <w:name w:val="Основной текст1"/>
    <w:basedOn w:val="a"/>
    <w:link w:val="ad"/>
    <w:rsid w:val="00181E3A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Заголовок №2"/>
    <w:basedOn w:val="a"/>
    <w:link w:val="23"/>
    <w:rsid w:val="00181E3A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character" w:customStyle="1" w:styleId="Batang65pt">
    <w:name w:val="Основной текст + Batang;6;5 pt;Малые прописные"/>
    <w:basedOn w:val="ad"/>
    <w:rsid w:val="00181E3A"/>
    <w:rPr>
      <w:rFonts w:ascii="Batang" w:eastAsia="Batang" w:hAnsi="Batang" w:cs="Batang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paragraph" w:customStyle="1" w:styleId="3">
    <w:name w:val="Основной текст3"/>
    <w:basedOn w:val="a"/>
    <w:rsid w:val="00181E3A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e">
    <w:name w:val="Подпись к таблице_"/>
    <w:basedOn w:val="a0"/>
    <w:link w:val="af"/>
    <w:rsid w:val="005C0E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"/>
    <w:basedOn w:val="ad"/>
    <w:rsid w:val="005C0E0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5C0E03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af">
    <w:name w:val="Подпись к таблице"/>
    <w:basedOn w:val="a"/>
    <w:link w:val="ae"/>
    <w:rsid w:val="005C0E0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3296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6652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1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6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3951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8454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3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588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726150160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  <w:div w:id="629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13196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6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0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1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8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7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061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20810064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  <w:div w:id="16994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5502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005596932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  <w:div w:id="1868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05585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93893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7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5593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3467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44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2138524809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F3310-7076-4244-985A-69A74946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Нигматуллина Юлия Маратовна</cp:lastModifiedBy>
  <cp:revision>71</cp:revision>
  <dcterms:created xsi:type="dcterms:W3CDTF">2013-12-01T08:07:00Z</dcterms:created>
  <dcterms:modified xsi:type="dcterms:W3CDTF">2016-02-10T05:21:00Z</dcterms:modified>
</cp:coreProperties>
</file>